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4247"/>
        <w:gridCol w:w="4247"/>
      </w:tblGrid>
      <w:tr w:rsidR="00DC372B" w:rsidRPr="00605717" w14:paraId="1ACFDB04" w14:textId="77777777" w:rsidTr="0072455C">
        <w:tc>
          <w:tcPr>
            <w:tcW w:w="4247" w:type="dxa"/>
          </w:tcPr>
          <w:p w14:paraId="4D29BCF1" w14:textId="77777777" w:rsidR="00605717" w:rsidRPr="00605717" w:rsidRDefault="00605717" w:rsidP="00267A8E">
            <w:pPr>
              <w:spacing w:before="120" w:after="120" w:line="300" w:lineRule="exact"/>
              <w:rPr>
                <w:rFonts w:ascii="Verdana" w:hAnsi="Verdana"/>
                <w:b/>
                <w:bCs/>
              </w:rPr>
            </w:pPr>
          </w:p>
          <w:p w14:paraId="55423D52" w14:textId="77777777" w:rsidR="00DC372B" w:rsidRPr="00605717" w:rsidRDefault="00DC372B" w:rsidP="00267A8E">
            <w:pPr>
              <w:spacing w:before="120" w:after="120" w:line="300" w:lineRule="exact"/>
              <w:rPr>
                <w:rFonts w:ascii="Verdana" w:hAnsi="Verdana"/>
                <w:b/>
                <w:bCs/>
              </w:rPr>
            </w:pPr>
            <w:r w:rsidRPr="00605717">
              <w:rPr>
                <w:rFonts w:ascii="Verdana" w:hAnsi="Verdana"/>
                <w:b/>
                <w:bCs/>
              </w:rPr>
              <w:t>PLAN DE CHOQUE ADMINISTRACIÓN DE JUSTICIA</w:t>
            </w:r>
          </w:p>
          <w:p w14:paraId="39E402A3" w14:textId="77777777" w:rsidR="00605717" w:rsidRPr="00605717" w:rsidRDefault="00605717" w:rsidP="00267A8E">
            <w:pPr>
              <w:spacing w:before="120" w:after="120" w:line="300" w:lineRule="exact"/>
              <w:rPr>
                <w:rFonts w:ascii="Verdana" w:hAnsi="Verdana"/>
                <w:b/>
                <w:bCs/>
              </w:rPr>
            </w:pPr>
          </w:p>
        </w:tc>
        <w:tc>
          <w:tcPr>
            <w:tcW w:w="4247" w:type="dxa"/>
          </w:tcPr>
          <w:p w14:paraId="0194BC8D" w14:textId="77777777" w:rsidR="00605717" w:rsidRPr="00605717" w:rsidRDefault="00605717" w:rsidP="00605717">
            <w:pPr>
              <w:spacing w:before="120" w:after="120" w:line="300" w:lineRule="exact"/>
              <w:jc w:val="center"/>
              <w:rPr>
                <w:rFonts w:ascii="Verdana" w:hAnsi="Verdana"/>
                <w:bCs/>
              </w:rPr>
            </w:pPr>
          </w:p>
          <w:p w14:paraId="67C56566" w14:textId="786E5CEC" w:rsidR="008F4E1A" w:rsidRPr="00605717" w:rsidRDefault="00B131EE" w:rsidP="004A6D92">
            <w:pPr>
              <w:spacing w:before="120" w:after="120" w:line="300" w:lineRule="exact"/>
              <w:jc w:val="center"/>
              <w:rPr>
                <w:rFonts w:ascii="Verdana" w:hAnsi="Verdana"/>
                <w:b/>
                <w:bCs/>
              </w:rPr>
            </w:pPr>
            <w:r w:rsidRPr="00605717">
              <w:rPr>
                <w:rFonts w:ascii="Verdana" w:hAnsi="Verdana"/>
                <w:bCs/>
              </w:rPr>
              <w:t>MEDIDA N</w:t>
            </w:r>
            <w:r w:rsidR="00BA1B5C" w:rsidRPr="00605717">
              <w:rPr>
                <w:rFonts w:ascii="Verdana" w:hAnsi="Verdana"/>
                <w:bCs/>
              </w:rPr>
              <w:t>º</w:t>
            </w:r>
            <w:r w:rsidR="00267A8E" w:rsidRPr="00605717">
              <w:rPr>
                <w:rFonts w:ascii="Verdana" w:hAnsi="Verdana"/>
                <w:bCs/>
              </w:rPr>
              <w:t>:</w:t>
            </w:r>
            <w:r w:rsidR="00605717" w:rsidRPr="00605717">
              <w:rPr>
                <w:rFonts w:ascii="Verdana" w:hAnsi="Verdana"/>
                <w:bCs/>
              </w:rPr>
              <w:t xml:space="preserve"> </w:t>
            </w:r>
            <w:r w:rsidR="00605717" w:rsidRPr="00605717">
              <w:rPr>
                <w:rFonts w:ascii="Verdana" w:hAnsi="Verdana"/>
                <w:b/>
                <w:bCs/>
              </w:rPr>
              <w:t>1</w:t>
            </w:r>
            <w:r w:rsidR="004A6D92">
              <w:rPr>
                <w:rFonts w:ascii="Verdana" w:hAnsi="Verdana"/>
                <w:b/>
                <w:bCs/>
              </w:rPr>
              <w:t>2</w:t>
            </w:r>
            <w:bookmarkStart w:id="0" w:name="_GoBack"/>
            <w:bookmarkEnd w:id="0"/>
            <w:r w:rsidR="00605717" w:rsidRPr="00605717">
              <w:rPr>
                <w:rFonts w:ascii="Verdana" w:hAnsi="Verdana"/>
                <w:b/>
                <w:bCs/>
              </w:rPr>
              <w:t xml:space="preserve"> (RDL)</w:t>
            </w:r>
          </w:p>
        </w:tc>
      </w:tr>
      <w:tr w:rsidR="00DC372B" w:rsidRPr="00605717" w14:paraId="54D80A56" w14:textId="77777777" w:rsidTr="0072455C">
        <w:tc>
          <w:tcPr>
            <w:tcW w:w="8494" w:type="dxa"/>
            <w:gridSpan w:val="2"/>
          </w:tcPr>
          <w:p w14:paraId="173E52A8" w14:textId="77777777" w:rsidR="00267A8E" w:rsidRPr="00605717" w:rsidRDefault="00DC372B" w:rsidP="004D626B">
            <w:pPr>
              <w:spacing w:before="120" w:after="120" w:line="300" w:lineRule="exact"/>
              <w:jc w:val="both"/>
              <w:rPr>
                <w:rFonts w:ascii="Verdana" w:hAnsi="Verdana"/>
              </w:rPr>
            </w:pPr>
            <w:r w:rsidRPr="00605717">
              <w:rPr>
                <w:rFonts w:ascii="Verdana" w:hAnsi="Verdana"/>
              </w:rPr>
              <w:t>IDENTIFICACIÓN DE LA MEDIDA:</w:t>
            </w:r>
            <w:r w:rsidR="002A373A" w:rsidRPr="00605717">
              <w:rPr>
                <w:rFonts w:ascii="Verdana" w:hAnsi="Verdana"/>
              </w:rPr>
              <w:t xml:space="preserve"> </w:t>
            </w:r>
          </w:p>
          <w:p w14:paraId="4F6E4849" w14:textId="1228CF43" w:rsidR="00DC372B" w:rsidRPr="00605717" w:rsidRDefault="0089494A" w:rsidP="004D626B">
            <w:pPr>
              <w:spacing w:before="120" w:after="120" w:line="300" w:lineRule="exact"/>
              <w:jc w:val="both"/>
              <w:rPr>
                <w:rFonts w:ascii="Verdana" w:hAnsi="Verdana"/>
              </w:rPr>
            </w:pPr>
            <w:r w:rsidRPr="00605717">
              <w:rPr>
                <w:rFonts w:ascii="Verdana" w:hAnsi="Verdana"/>
              </w:rPr>
              <w:t xml:space="preserve">Preferencia </w:t>
            </w:r>
            <w:r w:rsidR="00451A65" w:rsidRPr="00605717">
              <w:rPr>
                <w:rFonts w:ascii="Verdana" w:hAnsi="Verdana"/>
              </w:rPr>
              <w:t>para</w:t>
            </w:r>
            <w:r w:rsidRPr="00605717">
              <w:rPr>
                <w:rFonts w:ascii="Verdana" w:hAnsi="Verdana"/>
              </w:rPr>
              <w:t xml:space="preserve"> la realización de actos procesales con presencia virtual</w:t>
            </w:r>
            <w:r w:rsidR="008F4E1A" w:rsidRPr="00605717">
              <w:rPr>
                <w:rFonts w:ascii="Verdana" w:hAnsi="Verdana"/>
              </w:rPr>
              <w:t xml:space="preserve"> (procesos laborales y de Seguridad Social derivados de COVID-19, extensible a otros)</w:t>
            </w:r>
          </w:p>
        </w:tc>
      </w:tr>
      <w:tr w:rsidR="00DC372B" w:rsidRPr="00605717" w14:paraId="64F5185B" w14:textId="77777777" w:rsidTr="0072455C">
        <w:tc>
          <w:tcPr>
            <w:tcW w:w="8494" w:type="dxa"/>
            <w:gridSpan w:val="2"/>
          </w:tcPr>
          <w:p w14:paraId="0A558F7A" w14:textId="77777777" w:rsidR="00267A8E" w:rsidRPr="00605717" w:rsidRDefault="00DC372B" w:rsidP="004D626B">
            <w:pPr>
              <w:spacing w:before="120" w:after="120" w:line="300" w:lineRule="exact"/>
              <w:rPr>
                <w:rFonts w:ascii="Verdana" w:hAnsi="Verdana"/>
              </w:rPr>
            </w:pPr>
            <w:r w:rsidRPr="00605717">
              <w:rPr>
                <w:rFonts w:ascii="Verdana" w:hAnsi="Verdana"/>
              </w:rPr>
              <w:t>TIPO DE MEDIDA</w:t>
            </w:r>
            <w:r w:rsidR="002A373A" w:rsidRPr="00605717">
              <w:rPr>
                <w:rFonts w:ascii="Verdana" w:hAnsi="Verdana"/>
              </w:rPr>
              <w:t xml:space="preserve">: </w:t>
            </w:r>
          </w:p>
          <w:p w14:paraId="42450F7E" w14:textId="4D2138DA" w:rsidR="002A373A" w:rsidRPr="00605717" w:rsidRDefault="00C54F55" w:rsidP="002F00AE">
            <w:pPr>
              <w:spacing w:before="120" w:after="120" w:line="300" w:lineRule="exact"/>
              <w:jc w:val="both"/>
              <w:rPr>
                <w:rFonts w:ascii="Verdana" w:hAnsi="Verdana"/>
              </w:rPr>
            </w:pPr>
            <w:r w:rsidRPr="00605717">
              <w:rPr>
                <w:rFonts w:ascii="Verdana" w:hAnsi="Verdana"/>
              </w:rPr>
              <w:t xml:space="preserve">Medida </w:t>
            </w:r>
            <w:r w:rsidR="0089494A" w:rsidRPr="00605717">
              <w:rPr>
                <w:rFonts w:ascii="Verdana" w:hAnsi="Verdana"/>
              </w:rPr>
              <w:t>de carácter general</w:t>
            </w:r>
            <w:r w:rsidR="002F00AE" w:rsidRPr="00605717">
              <w:rPr>
                <w:rFonts w:ascii="Verdana" w:hAnsi="Verdana"/>
              </w:rPr>
              <w:t xml:space="preserve"> que consistiría en introducir una norma</w:t>
            </w:r>
            <w:r w:rsidR="00451A65" w:rsidRPr="00605717">
              <w:rPr>
                <w:rFonts w:ascii="Verdana" w:hAnsi="Verdana"/>
              </w:rPr>
              <w:t xml:space="preserve"> con rango de ley y carácter urgente</w:t>
            </w:r>
            <w:r w:rsidR="002F00AE" w:rsidRPr="00605717">
              <w:rPr>
                <w:rFonts w:ascii="Verdana" w:hAnsi="Verdana"/>
              </w:rPr>
              <w:t xml:space="preserve"> en los siguientes términos:</w:t>
            </w:r>
          </w:p>
          <w:p w14:paraId="6640B68A" w14:textId="6541D5B3" w:rsidR="002F00AE" w:rsidRPr="00605717" w:rsidRDefault="002F00AE" w:rsidP="002F00AE">
            <w:pPr>
              <w:spacing w:before="120" w:after="120" w:line="300" w:lineRule="exact"/>
              <w:jc w:val="both"/>
              <w:rPr>
                <w:rFonts w:ascii="Verdana" w:hAnsi="Verdana"/>
                <w:i/>
                <w:color w:val="FF0000"/>
              </w:rPr>
            </w:pPr>
            <w:r w:rsidRPr="00605717">
              <w:rPr>
                <w:rFonts w:ascii="Verdana" w:hAnsi="Verdana"/>
              </w:rPr>
              <w:t>“</w:t>
            </w:r>
            <w:r w:rsidRPr="00605717">
              <w:rPr>
                <w:rFonts w:ascii="Verdana" w:hAnsi="Verdana"/>
                <w:i/>
                <w:color w:val="FF0000"/>
              </w:rPr>
              <w:t>Mientras dure la situación de emergencia sanitaria, los actos de juicio, comparecencias</w:t>
            </w:r>
            <w:r w:rsidR="00CB5BA7" w:rsidRPr="00605717">
              <w:rPr>
                <w:rFonts w:ascii="Verdana" w:hAnsi="Verdana"/>
                <w:i/>
                <w:color w:val="FF0000"/>
              </w:rPr>
              <w:t>, declaraciones</w:t>
            </w:r>
            <w:r w:rsidRPr="00605717">
              <w:rPr>
                <w:rFonts w:ascii="Verdana" w:hAnsi="Verdana"/>
                <w:i/>
                <w:color w:val="FF0000"/>
              </w:rPr>
              <w:t xml:space="preserve"> y vistas, los actos de comunicación, y en general todos los actos procesales</w:t>
            </w:r>
            <w:r w:rsidR="00CB5BA7" w:rsidRPr="00605717">
              <w:rPr>
                <w:rFonts w:ascii="Verdana" w:hAnsi="Verdana"/>
                <w:i/>
                <w:color w:val="FF0000"/>
              </w:rPr>
              <w:t xml:space="preserve">, </w:t>
            </w:r>
            <w:r w:rsidRPr="00605717">
              <w:rPr>
                <w:rFonts w:ascii="Verdana" w:hAnsi="Verdana"/>
                <w:i/>
                <w:color w:val="FF0000"/>
              </w:rPr>
              <w:t>se realizarán preferentemente mediante régimen de presencia virtual cuando los medios técnicos, electrónicos, informáticos y telemáticos necesarios para ello estén puestos a disposición de los Ju</w:t>
            </w:r>
            <w:r w:rsidR="00CB5BA7" w:rsidRPr="00605717">
              <w:rPr>
                <w:rFonts w:ascii="Verdana" w:hAnsi="Verdana"/>
                <w:i/>
                <w:color w:val="FF0000"/>
              </w:rPr>
              <w:t>zgados y Tribunales y de las Fiscalías</w:t>
            </w:r>
            <w:r w:rsidRPr="00605717">
              <w:rPr>
                <w:rFonts w:ascii="Verdana" w:hAnsi="Verdana"/>
                <w:i/>
                <w:color w:val="FF0000"/>
              </w:rPr>
              <w:t xml:space="preserve"> para el desarrollo de su actividad y ejercicio de sus funciones.</w:t>
            </w:r>
          </w:p>
          <w:p w14:paraId="7A765D57" w14:textId="77777777" w:rsidR="002F00AE" w:rsidRDefault="00255B47" w:rsidP="002F00AE">
            <w:pPr>
              <w:spacing w:before="120" w:after="120" w:line="300" w:lineRule="exact"/>
              <w:jc w:val="both"/>
              <w:rPr>
                <w:rFonts w:ascii="Verdana" w:hAnsi="Verdana"/>
              </w:rPr>
            </w:pPr>
            <w:r w:rsidRPr="00605717">
              <w:rPr>
                <w:rFonts w:ascii="Verdana" w:hAnsi="Verdana"/>
                <w:i/>
                <w:color w:val="FF0000"/>
              </w:rPr>
              <w:t>L</w:t>
            </w:r>
            <w:r w:rsidR="002F00AE" w:rsidRPr="00605717">
              <w:rPr>
                <w:rFonts w:ascii="Verdana" w:hAnsi="Verdana"/>
                <w:i/>
                <w:color w:val="FF0000"/>
              </w:rPr>
              <w:t>as deliberaciones</w:t>
            </w:r>
            <w:r w:rsidR="00CB5BA7" w:rsidRPr="00605717">
              <w:rPr>
                <w:rFonts w:ascii="Verdana" w:hAnsi="Verdana"/>
                <w:i/>
                <w:color w:val="FF0000"/>
              </w:rPr>
              <w:t xml:space="preserve"> se celebrarán en régimen de presencia virtual cuando se den las condiciones previstas en el párrafo anterior</w:t>
            </w:r>
            <w:r w:rsidR="00CB5BA7" w:rsidRPr="00605717">
              <w:rPr>
                <w:rFonts w:ascii="Verdana" w:hAnsi="Verdana"/>
              </w:rPr>
              <w:t>.”</w:t>
            </w:r>
          </w:p>
          <w:p w14:paraId="57F8201F" w14:textId="0D7B7748" w:rsidR="00605717" w:rsidRPr="00605717" w:rsidRDefault="00605717" w:rsidP="002F00AE">
            <w:pPr>
              <w:spacing w:before="120" w:after="120" w:line="300" w:lineRule="exact"/>
              <w:jc w:val="both"/>
              <w:rPr>
                <w:rFonts w:ascii="Verdana" w:hAnsi="Verdana"/>
              </w:rPr>
            </w:pPr>
          </w:p>
        </w:tc>
      </w:tr>
      <w:tr w:rsidR="00DC372B" w:rsidRPr="00605717" w14:paraId="00DCF4DD" w14:textId="77777777" w:rsidTr="0072455C">
        <w:tc>
          <w:tcPr>
            <w:tcW w:w="8494" w:type="dxa"/>
            <w:gridSpan w:val="2"/>
          </w:tcPr>
          <w:p w14:paraId="06C5416A" w14:textId="77777777" w:rsidR="00267A8E" w:rsidRPr="00605717" w:rsidRDefault="002A373A" w:rsidP="004D626B">
            <w:pPr>
              <w:spacing w:before="120" w:after="120" w:line="300" w:lineRule="exact"/>
              <w:jc w:val="both"/>
              <w:rPr>
                <w:rFonts w:ascii="Verdana" w:hAnsi="Verdana"/>
              </w:rPr>
            </w:pPr>
            <w:r w:rsidRPr="00605717">
              <w:rPr>
                <w:rFonts w:ascii="Verdana" w:hAnsi="Verdana"/>
              </w:rPr>
              <w:t>OBJETIVO DE LA MEDIDA:</w:t>
            </w:r>
            <w:r w:rsidR="00E45F40" w:rsidRPr="00605717">
              <w:rPr>
                <w:rFonts w:ascii="Verdana" w:hAnsi="Verdana"/>
              </w:rPr>
              <w:t xml:space="preserve"> </w:t>
            </w:r>
          </w:p>
          <w:p w14:paraId="3612D352" w14:textId="77777777" w:rsidR="00CB5BA7" w:rsidRPr="00605717" w:rsidRDefault="0089494A" w:rsidP="00B71211">
            <w:pPr>
              <w:spacing w:before="120" w:after="120" w:line="300" w:lineRule="exact"/>
              <w:jc w:val="both"/>
              <w:rPr>
                <w:rFonts w:ascii="Verdana" w:hAnsi="Verdana"/>
                <w:bCs/>
                <w:lang w:val="es-ES_tradnl"/>
              </w:rPr>
            </w:pPr>
            <w:r w:rsidRPr="00605717">
              <w:rPr>
                <w:rFonts w:ascii="Verdana" w:hAnsi="Verdana"/>
              </w:rPr>
              <w:t>La realización de actos procesales en régimen de presencia física supone un riesgo de contagio del coronavirus, en especial cuando ello supone tener que acudir a edificios judiciales donde se celebran multitud de actos procesales</w:t>
            </w:r>
            <w:r w:rsidR="00B71211" w:rsidRPr="00605717">
              <w:rPr>
                <w:rFonts w:ascii="Verdana" w:hAnsi="Verdana"/>
              </w:rPr>
              <w:t xml:space="preserve"> pues son lugares de concentración masiva de personas que pueden facilitar los contagios</w:t>
            </w:r>
            <w:r w:rsidRPr="00605717">
              <w:rPr>
                <w:rFonts w:ascii="Verdana" w:hAnsi="Verdana"/>
              </w:rPr>
              <w:t xml:space="preserve">. El riesgo es especialmente tangible en el caso de celebración de juicios por varios órganos judiciales en una misma mañana en </w:t>
            </w:r>
            <w:r w:rsidR="00B71211" w:rsidRPr="00605717">
              <w:rPr>
                <w:rFonts w:ascii="Verdana" w:hAnsi="Verdana"/>
              </w:rPr>
              <w:t xml:space="preserve">las mismas dependencias o en dependencias próximas. La finalidad de la medida es </w:t>
            </w:r>
            <w:r w:rsidR="00B71211" w:rsidRPr="00605717">
              <w:rPr>
                <w:rFonts w:ascii="Verdana" w:hAnsi="Verdana"/>
                <w:bCs/>
                <w:lang w:val="es-ES_tradnl"/>
              </w:rPr>
              <w:t xml:space="preserve">preservar la salud del personal judicial, el funcionariado, los profesionales jurídicos, y la totalidad de las personas intervinientes en el proceso (partes, testigos, peritos, </w:t>
            </w:r>
            <w:proofErr w:type="gramStart"/>
            <w:r w:rsidR="00B71211" w:rsidRPr="00605717">
              <w:rPr>
                <w:rFonts w:ascii="Verdana" w:hAnsi="Verdana"/>
                <w:bCs/>
                <w:lang w:val="es-ES_tradnl"/>
              </w:rPr>
              <w:t>acompañantes …</w:t>
            </w:r>
            <w:proofErr w:type="gramEnd"/>
            <w:r w:rsidR="00B71211" w:rsidRPr="00605717">
              <w:rPr>
                <w:rFonts w:ascii="Verdana" w:hAnsi="Verdana"/>
                <w:bCs/>
                <w:lang w:val="es-ES_tradnl"/>
              </w:rPr>
              <w:t>).</w:t>
            </w:r>
          </w:p>
          <w:p w14:paraId="0B41CF0D" w14:textId="77777777" w:rsidR="00CB5BA7" w:rsidRPr="00605717" w:rsidRDefault="00CB5BA7" w:rsidP="00CB5BA7">
            <w:pPr>
              <w:spacing w:before="120" w:after="120" w:line="300" w:lineRule="exact"/>
              <w:jc w:val="both"/>
              <w:rPr>
                <w:rFonts w:ascii="Verdana" w:hAnsi="Verdana"/>
                <w:bCs/>
              </w:rPr>
            </w:pPr>
            <w:r w:rsidRPr="00605717">
              <w:rPr>
                <w:rFonts w:ascii="Verdana" w:hAnsi="Verdana"/>
                <w:bCs/>
              </w:rPr>
              <w:t>En muchos casos las leyes de procedimiento establecen de manera expresa la obligación de presencia para una vista, comparecencia o acto de juicio, lo que se ha venido interpretando como obligación de presencia física. También se establece en muchas ocasiones la preferencia de los actos de comunicación personales. Igualmente es habitual celebrar las deliberaciones de órganos colegiados en régimen de presencia física.</w:t>
            </w:r>
          </w:p>
          <w:p w14:paraId="0A9D717E" w14:textId="77777777" w:rsidR="001F77A4" w:rsidRPr="00605717" w:rsidRDefault="00CB5BA7" w:rsidP="00CB5BA7">
            <w:pPr>
              <w:spacing w:before="120" w:after="120" w:line="300" w:lineRule="exact"/>
              <w:jc w:val="both"/>
              <w:rPr>
                <w:rFonts w:ascii="Verdana" w:hAnsi="Verdana"/>
                <w:bCs/>
              </w:rPr>
            </w:pPr>
            <w:r w:rsidRPr="00605717">
              <w:rPr>
                <w:rFonts w:ascii="Verdana" w:hAnsi="Verdana"/>
                <w:bCs/>
              </w:rPr>
              <w:t xml:space="preserve">Con la introducción de una norma que, en todos esos casos, posibilita la </w:t>
            </w:r>
            <w:r w:rsidRPr="00605717">
              <w:rPr>
                <w:rFonts w:ascii="Verdana" w:hAnsi="Verdana"/>
                <w:bCs/>
              </w:rPr>
              <w:lastRenderedPageBreak/>
              <w:t>presencia virtual, y la prefiere respecto a la presencia física, se habilitaría para la válida realización de esos actos procesales sin riesgos de contagio</w:t>
            </w:r>
            <w:r w:rsidR="001F77A4" w:rsidRPr="00605717">
              <w:rPr>
                <w:rFonts w:ascii="Verdana" w:hAnsi="Verdana"/>
                <w:bCs/>
              </w:rPr>
              <w:t>.</w:t>
            </w:r>
          </w:p>
          <w:p w14:paraId="09BEA0FF" w14:textId="6331A079" w:rsidR="001F77A4" w:rsidRPr="00605717" w:rsidRDefault="001F77A4" w:rsidP="001F77A4">
            <w:pPr>
              <w:spacing w:before="180" w:after="180"/>
              <w:jc w:val="both"/>
              <w:rPr>
                <w:rFonts w:ascii="Verdana" w:eastAsia="Times New Roman" w:hAnsi="Verdana" w:cs="Times New Roman"/>
                <w:color w:val="000000"/>
                <w:lang w:eastAsia="es-ES"/>
              </w:rPr>
            </w:pPr>
            <w:r w:rsidRPr="00605717">
              <w:rPr>
                <w:rFonts w:ascii="Verdana" w:eastAsia="Times New Roman" w:hAnsi="Verdana" w:cs="Times New Roman"/>
                <w:color w:val="000000"/>
                <w:lang w:eastAsia="es-ES"/>
              </w:rPr>
              <w:t>La propuesta normativa es coherente y concordante con la previsión contenida en el art. 229.3  de la LOPJ: “3. Estas actuaciones podrán realizarse a través de videoconferencia u otro sistema similar que permita la comunicación bidireccional y simultánea de la imagen y el sonido y la interacción visual, auditiva y verbal entre dos personas o grupos de personas geográficamente distantes, asegurando en todo caso la posibilidad de contradicción de las partes y la salvaguarda del derecho de defensa, cuando así lo acuerde el juez o tribunal.</w:t>
            </w:r>
          </w:p>
          <w:p w14:paraId="03E4F022" w14:textId="29E7DEF3" w:rsidR="00DC372B" w:rsidRPr="00605717" w:rsidRDefault="001F77A4" w:rsidP="00605717">
            <w:pPr>
              <w:spacing w:before="180" w:after="180"/>
              <w:ind w:firstLine="360"/>
              <w:jc w:val="both"/>
              <w:rPr>
                <w:rFonts w:ascii="Verdana" w:hAnsi="Verdana"/>
              </w:rPr>
            </w:pPr>
            <w:r w:rsidRPr="00605717">
              <w:rPr>
                <w:rFonts w:ascii="Verdana" w:eastAsia="Times New Roman" w:hAnsi="Verdana" w:cs="Times New Roman"/>
                <w:color w:val="000000"/>
                <w:lang w:eastAsia="es-ES"/>
              </w:rPr>
              <w:t>En estos casos, el letrado de la Administración de Justicia del juzgado o tribunal que haya acordado la medida acreditará desde la propia sede judicial la identidad de las personas que intervengan a través de la videoconferencia mediante la previa remisión o la exhibición directa de documentación, por conocimiento personal o por cualquier otro medio procesal idóneo”.</w:t>
            </w:r>
            <w:r w:rsidR="0089494A" w:rsidRPr="00605717">
              <w:rPr>
                <w:rFonts w:ascii="Verdana" w:hAnsi="Verdana"/>
              </w:rPr>
              <w:t xml:space="preserve"> </w:t>
            </w:r>
          </w:p>
        </w:tc>
      </w:tr>
      <w:tr w:rsidR="00DC372B" w:rsidRPr="00605717" w14:paraId="4C3EAF59" w14:textId="77777777" w:rsidTr="0072455C">
        <w:tc>
          <w:tcPr>
            <w:tcW w:w="8494" w:type="dxa"/>
            <w:gridSpan w:val="2"/>
          </w:tcPr>
          <w:p w14:paraId="256FC9A0" w14:textId="77777777" w:rsidR="00267A8E" w:rsidRPr="00605717" w:rsidRDefault="002A373A" w:rsidP="004D626B">
            <w:pPr>
              <w:spacing w:before="120" w:after="120" w:line="300" w:lineRule="exact"/>
              <w:jc w:val="both"/>
              <w:rPr>
                <w:rFonts w:ascii="Verdana" w:hAnsi="Verdana"/>
              </w:rPr>
            </w:pPr>
            <w:r w:rsidRPr="00605717">
              <w:rPr>
                <w:rFonts w:ascii="Verdana" w:hAnsi="Verdana"/>
              </w:rPr>
              <w:lastRenderedPageBreak/>
              <w:t>COLECTIVOS PROFESIONALES AFECTADOS:</w:t>
            </w:r>
            <w:r w:rsidR="00134AD4" w:rsidRPr="00605717">
              <w:rPr>
                <w:rFonts w:ascii="Verdana" w:hAnsi="Verdana"/>
              </w:rPr>
              <w:t xml:space="preserve"> </w:t>
            </w:r>
          </w:p>
          <w:p w14:paraId="20D95280" w14:textId="43F27DC1" w:rsidR="002A373A" w:rsidRPr="00605717" w:rsidRDefault="00B71211" w:rsidP="004D626B">
            <w:pPr>
              <w:spacing w:before="120" w:after="120" w:line="300" w:lineRule="exact"/>
              <w:jc w:val="both"/>
              <w:rPr>
                <w:rFonts w:ascii="Verdana" w:hAnsi="Verdana"/>
              </w:rPr>
            </w:pPr>
            <w:r w:rsidRPr="00605717">
              <w:rPr>
                <w:rFonts w:ascii="Verdana" w:hAnsi="Verdana"/>
              </w:rPr>
              <w:t>Jueces y magistrados;</w:t>
            </w:r>
            <w:r w:rsidR="00CB5BA7" w:rsidRPr="00605717">
              <w:rPr>
                <w:rFonts w:ascii="Verdana" w:hAnsi="Verdana"/>
              </w:rPr>
              <w:t xml:space="preserve"> Fiscales;</w:t>
            </w:r>
            <w:r w:rsidRPr="00605717">
              <w:rPr>
                <w:rFonts w:ascii="Verdana" w:hAnsi="Verdana"/>
              </w:rPr>
              <w:t xml:space="preserve"> Letrados de la Administración de Justicia; otros funcionarios al servicio de la Administración de Justicia; abogados, procuradores y graduados sociales</w:t>
            </w:r>
            <w:r w:rsidR="00CB5BA7" w:rsidRPr="00605717">
              <w:rPr>
                <w:rFonts w:ascii="Verdana" w:hAnsi="Verdana"/>
              </w:rPr>
              <w:t>.</w:t>
            </w:r>
          </w:p>
        </w:tc>
      </w:tr>
      <w:tr w:rsidR="00DC372B" w:rsidRPr="00605717" w14:paraId="553A009B" w14:textId="77777777" w:rsidTr="0072455C">
        <w:tc>
          <w:tcPr>
            <w:tcW w:w="8494" w:type="dxa"/>
            <w:gridSpan w:val="2"/>
          </w:tcPr>
          <w:p w14:paraId="4C966C62" w14:textId="77777777" w:rsidR="00267A8E" w:rsidRPr="00605717" w:rsidRDefault="002A373A" w:rsidP="00C64C4A">
            <w:pPr>
              <w:spacing w:before="120" w:after="120" w:line="300" w:lineRule="exact"/>
              <w:jc w:val="both"/>
              <w:rPr>
                <w:rFonts w:ascii="Verdana" w:hAnsi="Verdana"/>
              </w:rPr>
            </w:pPr>
            <w:r w:rsidRPr="00605717">
              <w:rPr>
                <w:rFonts w:ascii="Verdana" w:hAnsi="Verdana"/>
              </w:rPr>
              <w:t xml:space="preserve">ADMINISTRACIONES/COLECTIVOS QUE </w:t>
            </w:r>
            <w:r w:rsidR="00134AD4" w:rsidRPr="00605717">
              <w:rPr>
                <w:rFonts w:ascii="Verdana" w:hAnsi="Verdana"/>
              </w:rPr>
              <w:t xml:space="preserve">DEBEN </w:t>
            </w:r>
            <w:r w:rsidRPr="00605717">
              <w:rPr>
                <w:rFonts w:ascii="Verdana" w:hAnsi="Verdana"/>
              </w:rPr>
              <w:t>PARTICIPA</w:t>
            </w:r>
            <w:r w:rsidR="00134AD4" w:rsidRPr="00605717">
              <w:rPr>
                <w:rFonts w:ascii="Verdana" w:hAnsi="Verdana"/>
              </w:rPr>
              <w:t>R</w:t>
            </w:r>
            <w:r w:rsidRPr="00605717">
              <w:rPr>
                <w:rFonts w:ascii="Verdana" w:hAnsi="Verdana"/>
              </w:rPr>
              <w:t xml:space="preserve"> EN LA EJECUCIÓN:</w:t>
            </w:r>
            <w:r w:rsidR="00134AD4" w:rsidRPr="00605717">
              <w:rPr>
                <w:rFonts w:ascii="Verdana" w:hAnsi="Verdana"/>
              </w:rPr>
              <w:t xml:space="preserve"> </w:t>
            </w:r>
          </w:p>
          <w:p w14:paraId="78C819C9" w14:textId="77777777" w:rsidR="00E4087F" w:rsidRPr="00605717" w:rsidRDefault="00B71211" w:rsidP="00C64C4A">
            <w:pPr>
              <w:spacing w:before="120" w:after="120" w:line="300" w:lineRule="exact"/>
              <w:jc w:val="both"/>
              <w:rPr>
                <w:rFonts w:ascii="Verdana" w:hAnsi="Verdana"/>
              </w:rPr>
            </w:pPr>
            <w:r w:rsidRPr="00605717">
              <w:rPr>
                <w:rFonts w:ascii="Verdana" w:hAnsi="Verdana"/>
              </w:rPr>
              <w:t>Ju</w:t>
            </w:r>
            <w:r w:rsidR="00CB5BA7" w:rsidRPr="00605717">
              <w:rPr>
                <w:rFonts w:ascii="Verdana" w:hAnsi="Verdana"/>
              </w:rPr>
              <w:t>zgados y Tribunales y Fiscalías</w:t>
            </w:r>
            <w:r w:rsidR="00E4087F" w:rsidRPr="00605717">
              <w:rPr>
                <w:rFonts w:ascii="Verdana" w:hAnsi="Verdana"/>
              </w:rPr>
              <w:t xml:space="preserve"> en la medida en que los medios técnicos, electrónicos, informáticos y telemáticos necesarios para sustituir la presencia física por la virtual estén puestos a su disposición para el desarrollo de su actividad y ejercicio de sus funciones.</w:t>
            </w:r>
          </w:p>
          <w:p w14:paraId="3F60CBFF" w14:textId="77777777" w:rsidR="004E4D2D" w:rsidRDefault="004E4D2D" w:rsidP="00C64C4A">
            <w:pPr>
              <w:spacing w:before="120" w:after="120" w:line="300" w:lineRule="exact"/>
              <w:jc w:val="both"/>
              <w:rPr>
                <w:rFonts w:ascii="Verdana" w:hAnsi="Verdana"/>
              </w:rPr>
            </w:pPr>
            <w:r w:rsidRPr="00605717">
              <w:rPr>
                <w:rFonts w:ascii="Verdana" w:hAnsi="Verdana"/>
              </w:rPr>
              <w:t>Podría ser necesario, en relación con determinados actos procesales, que los Jueces Decanos, los Presidentes de Tribunales, o los Fiscales Jefes requiriesen la colaboración de los Colegios de la Abogacía, de la Procura o de los Graduados Sociales para la efectividad de la medida.</w:t>
            </w:r>
          </w:p>
          <w:p w14:paraId="0BE7C33F" w14:textId="00ACFE95" w:rsidR="00605717" w:rsidRPr="00605717" w:rsidRDefault="00605717" w:rsidP="00C64C4A">
            <w:pPr>
              <w:spacing w:before="120" w:after="120" w:line="300" w:lineRule="exact"/>
              <w:jc w:val="both"/>
              <w:rPr>
                <w:rFonts w:ascii="Verdana" w:hAnsi="Verdana"/>
              </w:rPr>
            </w:pPr>
          </w:p>
        </w:tc>
      </w:tr>
      <w:tr w:rsidR="002A373A" w:rsidRPr="00605717" w14:paraId="29D3D532" w14:textId="77777777" w:rsidTr="0072455C">
        <w:tc>
          <w:tcPr>
            <w:tcW w:w="8494" w:type="dxa"/>
            <w:gridSpan w:val="2"/>
          </w:tcPr>
          <w:p w14:paraId="197A2053" w14:textId="26C915AB" w:rsidR="009B618B" w:rsidRPr="00605717" w:rsidRDefault="002A373A" w:rsidP="00BF0AAC">
            <w:pPr>
              <w:spacing w:before="120" w:after="120" w:line="300" w:lineRule="exact"/>
              <w:jc w:val="both"/>
              <w:rPr>
                <w:rFonts w:ascii="Verdana" w:hAnsi="Verdana"/>
              </w:rPr>
            </w:pPr>
            <w:r w:rsidRPr="00605717">
              <w:rPr>
                <w:rFonts w:ascii="Verdana" w:hAnsi="Verdana"/>
              </w:rPr>
              <w:t>ANÁLISIS DE IMPACTO SOBRE LA SITUACIÓN EXISTENTE:</w:t>
            </w:r>
          </w:p>
          <w:p w14:paraId="4B9264C9" w14:textId="23A08870" w:rsidR="002F00AE" w:rsidRPr="00605717" w:rsidRDefault="00451A65" w:rsidP="0021707C">
            <w:pPr>
              <w:spacing w:before="120" w:after="120" w:line="300" w:lineRule="exact"/>
              <w:jc w:val="both"/>
              <w:rPr>
                <w:rFonts w:ascii="Verdana" w:hAnsi="Verdana"/>
              </w:rPr>
            </w:pPr>
            <w:r w:rsidRPr="00605717">
              <w:rPr>
                <w:rFonts w:ascii="Verdana" w:hAnsi="Verdana"/>
              </w:rPr>
              <w:t>Impacto económico nulo pues se trataría de utilizar los medios técnicos, electrónicos, informáticos y telemáticos necesarios para sustituir la presencia física por la virtual que ya están puestos a disposición de Juzgados y Tribunales y de las Fiscalías para el desarrollo de su actividad y ejercicio de sus funciones.</w:t>
            </w:r>
          </w:p>
          <w:p w14:paraId="01746CCB" w14:textId="77777777" w:rsidR="004E4D2D" w:rsidRPr="00605717" w:rsidRDefault="00451A65" w:rsidP="004E4D2D">
            <w:pPr>
              <w:spacing w:before="120" w:after="120" w:line="300" w:lineRule="exact"/>
              <w:jc w:val="both"/>
              <w:rPr>
                <w:rFonts w:ascii="Verdana" w:hAnsi="Verdana"/>
              </w:rPr>
            </w:pPr>
            <w:r w:rsidRPr="00605717">
              <w:rPr>
                <w:rFonts w:ascii="Verdana" w:hAnsi="Verdana"/>
              </w:rPr>
              <w:t xml:space="preserve">Impacto organizativo mínimo, pues simplemente obligaría a poner en marcha los medios técnicos, electrónicos, informáticos y telemáticos necesarios para sustituir la presencia física por la virtual en los Juzgados y Tribunales y Fiscalías allí donde esos medios ya están puestos a su </w:t>
            </w:r>
            <w:r w:rsidRPr="00605717">
              <w:rPr>
                <w:rFonts w:ascii="Verdana" w:hAnsi="Verdana"/>
              </w:rPr>
              <w:lastRenderedPageBreak/>
              <w:t>disposición para el desarrollo de su actividad y ejercicio de sus funciones</w:t>
            </w:r>
            <w:r w:rsidR="00CB5BA7" w:rsidRPr="00605717">
              <w:rPr>
                <w:rFonts w:ascii="Verdana" w:hAnsi="Verdana"/>
              </w:rPr>
              <w:t>.</w:t>
            </w:r>
          </w:p>
          <w:p w14:paraId="0E8BF21C" w14:textId="6A2751A7" w:rsidR="00451A65" w:rsidRPr="00605717" w:rsidRDefault="00451A65" w:rsidP="004E4D2D">
            <w:pPr>
              <w:spacing w:before="120" w:after="120" w:line="300" w:lineRule="exact"/>
              <w:jc w:val="both"/>
              <w:rPr>
                <w:rFonts w:ascii="Verdana" w:hAnsi="Verdana"/>
              </w:rPr>
            </w:pPr>
            <w:r w:rsidRPr="00605717">
              <w:rPr>
                <w:rFonts w:ascii="Verdana" w:hAnsi="Verdana"/>
              </w:rPr>
              <w:t>Impacto normativo, pues se precisa de una norma con rango de ley para atribuir preferencia al régimen de presencia virtual frente al régimen de presencia física allí donde las leyes de procedimiento exigen la presencia de más de una persona para la realización de un acto procesal. Con la introducción de la norma se establecería la válida realización de los actos.</w:t>
            </w:r>
          </w:p>
        </w:tc>
      </w:tr>
      <w:tr w:rsidR="002A373A" w:rsidRPr="00605717" w14:paraId="036B28DA" w14:textId="77777777" w:rsidTr="0072455C">
        <w:tc>
          <w:tcPr>
            <w:tcW w:w="8494" w:type="dxa"/>
            <w:gridSpan w:val="2"/>
          </w:tcPr>
          <w:p w14:paraId="3EA69B68" w14:textId="1F9B2532" w:rsidR="002A373A" w:rsidRPr="00605717" w:rsidRDefault="002A373A" w:rsidP="00BF0AAC">
            <w:pPr>
              <w:spacing w:before="120" w:after="120" w:line="300" w:lineRule="exact"/>
              <w:jc w:val="both"/>
              <w:rPr>
                <w:rFonts w:ascii="Verdana" w:hAnsi="Verdana"/>
              </w:rPr>
            </w:pPr>
            <w:r w:rsidRPr="00605717">
              <w:rPr>
                <w:rFonts w:ascii="Verdana" w:hAnsi="Verdana"/>
              </w:rPr>
              <w:lastRenderedPageBreak/>
              <w:t>ANÁLISIS DE IMPACTO PREVISIBLE SOBRE LA SITUACIÓN FUTURA:</w:t>
            </w:r>
          </w:p>
          <w:p w14:paraId="74DB5223" w14:textId="77777777" w:rsidR="002A373A" w:rsidRPr="00605717" w:rsidRDefault="00451A65" w:rsidP="0073577F">
            <w:pPr>
              <w:spacing w:before="120" w:after="120" w:line="300" w:lineRule="exact"/>
              <w:jc w:val="both"/>
              <w:rPr>
                <w:rFonts w:ascii="Verdana" w:hAnsi="Verdana"/>
              </w:rPr>
            </w:pPr>
            <w:r w:rsidRPr="00605717">
              <w:rPr>
                <w:rFonts w:ascii="Verdana" w:hAnsi="Verdana"/>
              </w:rPr>
              <w:t>Impacto muy positivo sobre la salud de las personas intervinientes en actos procesales, al prevenir riesgos de contagio.</w:t>
            </w:r>
          </w:p>
          <w:p w14:paraId="18A4C01F" w14:textId="23B2B167" w:rsidR="004E4D2D" w:rsidRPr="00605717" w:rsidRDefault="004E4D2D" w:rsidP="0073577F">
            <w:pPr>
              <w:spacing w:before="120" w:after="120" w:line="300" w:lineRule="exact"/>
              <w:jc w:val="both"/>
              <w:rPr>
                <w:rFonts w:ascii="Verdana" w:hAnsi="Verdana"/>
              </w:rPr>
            </w:pPr>
            <w:r w:rsidRPr="00605717">
              <w:rPr>
                <w:rFonts w:ascii="Verdana" w:hAnsi="Verdana"/>
              </w:rPr>
              <w:t>Impacto muy positivo sobre la eficacia en la realización de actos procesales, pues se facilitaría esa realización sin necesidad de desplazamientos, con el consiguiente ahorro de tiempo y costes económicos. Tales beneficios repercutirían no solo sobre Jueces y Magistrados, Fiscales, Letrados de la Administración de Justicia, y otros funcionarios al servicio de la Administración de Justicia; también repercutirían sobre los profesionales (abogados, procuradores y graduados sociales), y sobre los justiciables.</w:t>
            </w:r>
          </w:p>
        </w:tc>
      </w:tr>
      <w:tr w:rsidR="002A373A" w:rsidRPr="00605717" w14:paraId="1776BAE4" w14:textId="77777777" w:rsidTr="0072455C">
        <w:tc>
          <w:tcPr>
            <w:tcW w:w="8494" w:type="dxa"/>
            <w:gridSpan w:val="2"/>
          </w:tcPr>
          <w:p w14:paraId="05CE987B" w14:textId="77777777" w:rsidR="002E2A6C" w:rsidRPr="00605717" w:rsidRDefault="002A373A" w:rsidP="00BF0AAC">
            <w:pPr>
              <w:spacing w:before="120" w:after="120" w:line="300" w:lineRule="exact"/>
              <w:jc w:val="both"/>
              <w:rPr>
                <w:rFonts w:ascii="Verdana" w:hAnsi="Verdana"/>
              </w:rPr>
            </w:pPr>
            <w:r w:rsidRPr="00605717">
              <w:rPr>
                <w:rFonts w:ascii="Verdana" w:hAnsi="Verdana"/>
              </w:rPr>
              <w:t>DURACIÓN DE LA MEDIDA:</w:t>
            </w:r>
            <w:r w:rsidR="00D64547" w:rsidRPr="00605717">
              <w:rPr>
                <w:rFonts w:ascii="Verdana" w:hAnsi="Verdana"/>
              </w:rPr>
              <w:t xml:space="preserve"> </w:t>
            </w:r>
          </w:p>
          <w:p w14:paraId="595470C2" w14:textId="06610FF1" w:rsidR="002E2A6C" w:rsidRPr="00605717" w:rsidRDefault="00E4087F" w:rsidP="00BF0AAC">
            <w:pPr>
              <w:spacing w:before="120" w:after="120" w:line="300" w:lineRule="exact"/>
              <w:jc w:val="both"/>
              <w:rPr>
                <w:rFonts w:ascii="Verdana" w:hAnsi="Verdana"/>
              </w:rPr>
            </w:pPr>
            <w:r w:rsidRPr="00605717">
              <w:rPr>
                <w:rFonts w:ascii="Verdana" w:hAnsi="Verdana"/>
              </w:rPr>
              <w:t>En principio mientras dure la situación de emergencia sanitaria (aunque la eficacia de la medida aconseja su mantenimiento incluso posteriormente)</w:t>
            </w:r>
            <w:r w:rsidR="0072455C" w:rsidRPr="00605717">
              <w:rPr>
                <w:rFonts w:ascii="Verdana" w:hAnsi="Verdana"/>
              </w:rPr>
              <w:t xml:space="preserve">. </w:t>
            </w:r>
          </w:p>
        </w:tc>
      </w:tr>
      <w:tr w:rsidR="002A373A" w:rsidRPr="00605717" w14:paraId="5C05C260" w14:textId="77777777" w:rsidTr="0072455C">
        <w:tc>
          <w:tcPr>
            <w:tcW w:w="8494" w:type="dxa"/>
            <w:gridSpan w:val="2"/>
          </w:tcPr>
          <w:p w14:paraId="4459F7F6" w14:textId="77777777" w:rsidR="002E2A6C" w:rsidRPr="00605717" w:rsidRDefault="00D64547" w:rsidP="00BF0AAC">
            <w:pPr>
              <w:spacing w:before="120" w:after="120" w:line="300" w:lineRule="exact"/>
              <w:rPr>
                <w:rFonts w:ascii="Verdana" w:hAnsi="Verdana"/>
              </w:rPr>
            </w:pPr>
            <w:r w:rsidRPr="00605717">
              <w:rPr>
                <w:rFonts w:ascii="Verdana" w:hAnsi="Verdana"/>
              </w:rPr>
              <w:t xml:space="preserve">NIVEL DE PRIORIDAD/URGENCIA: </w:t>
            </w:r>
          </w:p>
          <w:p w14:paraId="7F7EC68E" w14:textId="77777777" w:rsidR="002E2A6C" w:rsidRDefault="00451A65" w:rsidP="002E2A6C">
            <w:pPr>
              <w:spacing w:before="120" w:after="120" w:line="300" w:lineRule="exact"/>
              <w:rPr>
                <w:rFonts w:ascii="Verdana" w:hAnsi="Verdana"/>
              </w:rPr>
            </w:pPr>
            <w:r w:rsidRPr="00605717">
              <w:rPr>
                <w:rFonts w:ascii="Verdana" w:hAnsi="Verdana"/>
              </w:rPr>
              <w:t>Muy a</w:t>
            </w:r>
            <w:r w:rsidR="0072455C" w:rsidRPr="00605717">
              <w:rPr>
                <w:rFonts w:ascii="Verdana" w:hAnsi="Verdana"/>
              </w:rPr>
              <w:t>lta</w:t>
            </w:r>
          </w:p>
          <w:p w14:paraId="3D943C62" w14:textId="77777777" w:rsidR="00605717" w:rsidRDefault="00605717" w:rsidP="002E2A6C">
            <w:pPr>
              <w:spacing w:before="120" w:after="120" w:line="300" w:lineRule="exact"/>
              <w:rPr>
                <w:rFonts w:ascii="Verdana" w:hAnsi="Verdana"/>
              </w:rPr>
            </w:pPr>
          </w:p>
          <w:p w14:paraId="5A0063E9" w14:textId="51058370" w:rsidR="00605717" w:rsidRPr="00605717" w:rsidRDefault="00605717" w:rsidP="002E2A6C">
            <w:pPr>
              <w:spacing w:before="120" w:after="120" w:line="300" w:lineRule="exact"/>
              <w:rPr>
                <w:rFonts w:ascii="Verdana" w:hAnsi="Verdana"/>
              </w:rPr>
            </w:pPr>
          </w:p>
        </w:tc>
      </w:tr>
    </w:tbl>
    <w:p w14:paraId="40915B2D" w14:textId="77777777" w:rsidR="00D64547" w:rsidRDefault="00D64547"/>
    <w:sectPr w:rsidR="00D645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24BB8"/>
    <w:multiLevelType w:val="hybridMultilevel"/>
    <w:tmpl w:val="1CD8F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0465C4"/>
    <w:multiLevelType w:val="hybridMultilevel"/>
    <w:tmpl w:val="C04CD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8C56BEF"/>
    <w:multiLevelType w:val="hybridMultilevel"/>
    <w:tmpl w:val="18F0107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nsid w:val="583645D4"/>
    <w:multiLevelType w:val="hybridMultilevel"/>
    <w:tmpl w:val="44B404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3184C61"/>
    <w:multiLevelType w:val="hybridMultilevel"/>
    <w:tmpl w:val="EEAE2C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4B10A30"/>
    <w:multiLevelType w:val="hybridMultilevel"/>
    <w:tmpl w:val="FAEE2B6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2B"/>
    <w:rsid w:val="00043457"/>
    <w:rsid w:val="000648BC"/>
    <w:rsid w:val="0007262D"/>
    <w:rsid w:val="00081B38"/>
    <w:rsid w:val="00092FEB"/>
    <w:rsid w:val="000A5720"/>
    <w:rsid w:val="000D7B5F"/>
    <w:rsid w:val="000E0A53"/>
    <w:rsid w:val="0012280D"/>
    <w:rsid w:val="00122C7F"/>
    <w:rsid w:val="00134AD4"/>
    <w:rsid w:val="00143CE6"/>
    <w:rsid w:val="00144BEF"/>
    <w:rsid w:val="00145E86"/>
    <w:rsid w:val="001644AC"/>
    <w:rsid w:val="001C56AD"/>
    <w:rsid w:val="001C7C80"/>
    <w:rsid w:val="001D0077"/>
    <w:rsid w:val="001F3A8E"/>
    <w:rsid w:val="001F77A4"/>
    <w:rsid w:val="00210169"/>
    <w:rsid w:val="0021707C"/>
    <w:rsid w:val="002536DD"/>
    <w:rsid w:val="00255B47"/>
    <w:rsid w:val="00257EB6"/>
    <w:rsid w:val="00267A8E"/>
    <w:rsid w:val="00270737"/>
    <w:rsid w:val="00271AE0"/>
    <w:rsid w:val="002A10F3"/>
    <w:rsid w:val="002A289E"/>
    <w:rsid w:val="002A373A"/>
    <w:rsid w:val="002C73AE"/>
    <w:rsid w:val="002D4A1C"/>
    <w:rsid w:val="002E2A6C"/>
    <w:rsid w:val="002F00AE"/>
    <w:rsid w:val="00345517"/>
    <w:rsid w:val="00361DAB"/>
    <w:rsid w:val="00381FDF"/>
    <w:rsid w:val="003B7151"/>
    <w:rsid w:val="003D5303"/>
    <w:rsid w:val="004108EF"/>
    <w:rsid w:val="0042771B"/>
    <w:rsid w:val="00451A65"/>
    <w:rsid w:val="00453AFF"/>
    <w:rsid w:val="00457D82"/>
    <w:rsid w:val="00462C64"/>
    <w:rsid w:val="004740BA"/>
    <w:rsid w:val="0048598D"/>
    <w:rsid w:val="004A494A"/>
    <w:rsid w:val="004A6D92"/>
    <w:rsid w:val="004D626B"/>
    <w:rsid w:val="004E2A10"/>
    <w:rsid w:val="004E4D2D"/>
    <w:rsid w:val="00501551"/>
    <w:rsid w:val="00523B88"/>
    <w:rsid w:val="00523C7B"/>
    <w:rsid w:val="00547A07"/>
    <w:rsid w:val="005629C8"/>
    <w:rsid w:val="00563CB1"/>
    <w:rsid w:val="0059082D"/>
    <w:rsid w:val="00590898"/>
    <w:rsid w:val="005C502C"/>
    <w:rsid w:val="005D4CFF"/>
    <w:rsid w:val="00605717"/>
    <w:rsid w:val="00605E7C"/>
    <w:rsid w:val="0060643A"/>
    <w:rsid w:val="006241DE"/>
    <w:rsid w:val="0063082E"/>
    <w:rsid w:val="00647CCD"/>
    <w:rsid w:val="006550BF"/>
    <w:rsid w:val="0067359F"/>
    <w:rsid w:val="00685247"/>
    <w:rsid w:val="006A7D2A"/>
    <w:rsid w:val="006C3308"/>
    <w:rsid w:val="007163C4"/>
    <w:rsid w:val="00720899"/>
    <w:rsid w:val="00723ECB"/>
    <w:rsid w:val="0072455C"/>
    <w:rsid w:val="00734718"/>
    <w:rsid w:val="0073577F"/>
    <w:rsid w:val="00742A00"/>
    <w:rsid w:val="007568BE"/>
    <w:rsid w:val="0077745A"/>
    <w:rsid w:val="0078708A"/>
    <w:rsid w:val="007A01BA"/>
    <w:rsid w:val="007B546A"/>
    <w:rsid w:val="007C4A61"/>
    <w:rsid w:val="0080323B"/>
    <w:rsid w:val="008101A6"/>
    <w:rsid w:val="0082142A"/>
    <w:rsid w:val="008351AD"/>
    <w:rsid w:val="00871FBE"/>
    <w:rsid w:val="008765F4"/>
    <w:rsid w:val="0088620E"/>
    <w:rsid w:val="0089494A"/>
    <w:rsid w:val="008C6464"/>
    <w:rsid w:val="008F4E1A"/>
    <w:rsid w:val="0091009B"/>
    <w:rsid w:val="009459DB"/>
    <w:rsid w:val="0097646A"/>
    <w:rsid w:val="009A04EF"/>
    <w:rsid w:val="009B53A0"/>
    <w:rsid w:val="009B618B"/>
    <w:rsid w:val="009E7644"/>
    <w:rsid w:val="00A006E3"/>
    <w:rsid w:val="00A16AA7"/>
    <w:rsid w:val="00A21B89"/>
    <w:rsid w:val="00A50223"/>
    <w:rsid w:val="00A60381"/>
    <w:rsid w:val="00AA4CED"/>
    <w:rsid w:val="00AD68F8"/>
    <w:rsid w:val="00AF05F6"/>
    <w:rsid w:val="00B026EA"/>
    <w:rsid w:val="00B131EE"/>
    <w:rsid w:val="00B54D92"/>
    <w:rsid w:val="00B71211"/>
    <w:rsid w:val="00BA1B5C"/>
    <w:rsid w:val="00BD2456"/>
    <w:rsid w:val="00BF0AAC"/>
    <w:rsid w:val="00C02ADF"/>
    <w:rsid w:val="00C11441"/>
    <w:rsid w:val="00C54F55"/>
    <w:rsid w:val="00C62D7F"/>
    <w:rsid w:val="00C64C4A"/>
    <w:rsid w:val="00C87973"/>
    <w:rsid w:val="00CB5BA7"/>
    <w:rsid w:val="00CD5E97"/>
    <w:rsid w:val="00CF7880"/>
    <w:rsid w:val="00D028CE"/>
    <w:rsid w:val="00D10DB1"/>
    <w:rsid w:val="00D1399D"/>
    <w:rsid w:val="00D64547"/>
    <w:rsid w:val="00DA0880"/>
    <w:rsid w:val="00DB5F1A"/>
    <w:rsid w:val="00DC36BB"/>
    <w:rsid w:val="00DC372B"/>
    <w:rsid w:val="00DF33E9"/>
    <w:rsid w:val="00E024E9"/>
    <w:rsid w:val="00E16235"/>
    <w:rsid w:val="00E4087F"/>
    <w:rsid w:val="00E45F40"/>
    <w:rsid w:val="00E5572A"/>
    <w:rsid w:val="00E84BD8"/>
    <w:rsid w:val="00EB3DD0"/>
    <w:rsid w:val="00ED3B9B"/>
    <w:rsid w:val="00F6607A"/>
    <w:rsid w:val="00F74C9F"/>
    <w:rsid w:val="00F82C42"/>
    <w:rsid w:val="00FC65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C3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7EB6"/>
    <w:pPr>
      <w:ind w:left="720"/>
      <w:contextualSpacing/>
    </w:pPr>
  </w:style>
  <w:style w:type="paragraph" w:customStyle="1" w:styleId="parrafo">
    <w:name w:val="parrafo"/>
    <w:basedOn w:val="Normal"/>
    <w:rsid w:val="00453AF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453AF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A7D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C3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7EB6"/>
    <w:pPr>
      <w:ind w:left="720"/>
      <w:contextualSpacing/>
    </w:pPr>
  </w:style>
  <w:style w:type="paragraph" w:customStyle="1" w:styleId="parrafo">
    <w:name w:val="parrafo"/>
    <w:basedOn w:val="Normal"/>
    <w:rsid w:val="00453AF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453AF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A7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349">
      <w:bodyDiv w:val="1"/>
      <w:marLeft w:val="0"/>
      <w:marRight w:val="0"/>
      <w:marTop w:val="0"/>
      <w:marBottom w:val="0"/>
      <w:divBdr>
        <w:top w:val="none" w:sz="0" w:space="0" w:color="auto"/>
        <w:left w:val="none" w:sz="0" w:space="0" w:color="auto"/>
        <w:bottom w:val="none" w:sz="0" w:space="0" w:color="auto"/>
        <w:right w:val="none" w:sz="0" w:space="0" w:color="auto"/>
      </w:divBdr>
    </w:div>
    <w:div w:id="107942717">
      <w:bodyDiv w:val="1"/>
      <w:marLeft w:val="0"/>
      <w:marRight w:val="0"/>
      <w:marTop w:val="0"/>
      <w:marBottom w:val="0"/>
      <w:divBdr>
        <w:top w:val="none" w:sz="0" w:space="0" w:color="auto"/>
        <w:left w:val="none" w:sz="0" w:space="0" w:color="auto"/>
        <w:bottom w:val="none" w:sz="0" w:space="0" w:color="auto"/>
        <w:right w:val="none" w:sz="0" w:space="0" w:color="auto"/>
      </w:divBdr>
    </w:div>
    <w:div w:id="484245941">
      <w:bodyDiv w:val="1"/>
      <w:marLeft w:val="0"/>
      <w:marRight w:val="0"/>
      <w:marTop w:val="0"/>
      <w:marBottom w:val="0"/>
      <w:divBdr>
        <w:top w:val="none" w:sz="0" w:space="0" w:color="auto"/>
        <w:left w:val="none" w:sz="0" w:space="0" w:color="auto"/>
        <w:bottom w:val="none" w:sz="0" w:space="0" w:color="auto"/>
        <w:right w:val="none" w:sz="0" w:space="0" w:color="auto"/>
      </w:divBdr>
      <w:divsChild>
        <w:div w:id="1299217290">
          <w:marLeft w:val="0"/>
          <w:marRight w:val="0"/>
          <w:marTop w:val="0"/>
          <w:marBottom w:val="0"/>
          <w:divBdr>
            <w:top w:val="none" w:sz="0" w:space="0" w:color="auto"/>
            <w:left w:val="none" w:sz="0" w:space="0" w:color="auto"/>
            <w:bottom w:val="none" w:sz="0" w:space="0" w:color="auto"/>
            <w:right w:val="none" w:sz="0" w:space="0" w:color="auto"/>
          </w:divBdr>
        </w:div>
      </w:divsChild>
    </w:div>
    <w:div w:id="486364675">
      <w:bodyDiv w:val="1"/>
      <w:marLeft w:val="0"/>
      <w:marRight w:val="0"/>
      <w:marTop w:val="0"/>
      <w:marBottom w:val="0"/>
      <w:divBdr>
        <w:top w:val="none" w:sz="0" w:space="0" w:color="auto"/>
        <w:left w:val="none" w:sz="0" w:space="0" w:color="auto"/>
        <w:bottom w:val="none" w:sz="0" w:space="0" w:color="auto"/>
        <w:right w:val="none" w:sz="0" w:space="0" w:color="auto"/>
      </w:divBdr>
    </w:div>
    <w:div w:id="493498926">
      <w:bodyDiv w:val="1"/>
      <w:marLeft w:val="0"/>
      <w:marRight w:val="0"/>
      <w:marTop w:val="0"/>
      <w:marBottom w:val="0"/>
      <w:divBdr>
        <w:top w:val="none" w:sz="0" w:space="0" w:color="auto"/>
        <w:left w:val="none" w:sz="0" w:space="0" w:color="auto"/>
        <w:bottom w:val="none" w:sz="0" w:space="0" w:color="auto"/>
        <w:right w:val="none" w:sz="0" w:space="0" w:color="auto"/>
      </w:divBdr>
    </w:div>
    <w:div w:id="539129681">
      <w:bodyDiv w:val="1"/>
      <w:marLeft w:val="0"/>
      <w:marRight w:val="0"/>
      <w:marTop w:val="0"/>
      <w:marBottom w:val="0"/>
      <w:divBdr>
        <w:top w:val="none" w:sz="0" w:space="0" w:color="auto"/>
        <w:left w:val="none" w:sz="0" w:space="0" w:color="auto"/>
        <w:bottom w:val="none" w:sz="0" w:space="0" w:color="auto"/>
        <w:right w:val="none" w:sz="0" w:space="0" w:color="auto"/>
      </w:divBdr>
      <w:divsChild>
        <w:div w:id="162093897">
          <w:marLeft w:val="0"/>
          <w:marRight w:val="0"/>
          <w:marTop w:val="0"/>
          <w:marBottom w:val="0"/>
          <w:divBdr>
            <w:top w:val="none" w:sz="0" w:space="0" w:color="auto"/>
            <w:left w:val="none" w:sz="0" w:space="0" w:color="auto"/>
            <w:bottom w:val="none" w:sz="0" w:space="0" w:color="auto"/>
            <w:right w:val="none" w:sz="0" w:space="0" w:color="auto"/>
          </w:divBdr>
        </w:div>
      </w:divsChild>
    </w:div>
    <w:div w:id="652293844">
      <w:bodyDiv w:val="1"/>
      <w:marLeft w:val="0"/>
      <w:marRight w:val="0"/>
      <w:marTop w:val="0"/>
      <w:marBottom w:val="0"/>
      <w:divBdr>
        <w:top w:val="none" w:sz="0" w:space="0" w:color="auto"/>
        <w:left w:val="none" w:sz="0" w:space="0" w:color="auto"/>
        <w:bottom w:val="none" w:sz="0" w:space="0" w:color="auto"/>
        <w:right w:val="none" w:sz="0" w:space="0" w:color="auto"/>
      </w:divBdr>
    </w:div>
    <w:div w:id="661129982">
      <w:bodyDiv w:val="1"/>
      <w:marLeft w:val="0"/>
      <w:marRight w:val="0"/>
      <w:marTop w:val="0"/>
      <w:marBottom w:val="0"/>
      <w:divBdr>
        <w:top w:val="none" w:sz="0" w:space="0" w:color="auto"/>
        <w:left w:val="none" w:sz="0" w:space="0" w:color="auto"/>
        <w:bottom w:val="none" w:sz="0" w:space="0" w:color="auto"/>
        <w:right w:val="none" w:sz="0" w:space="0" w:color="auto"/>
      </w:divBdr>
    </w:div>
    <w:div w:id="1095596646">
      <w:bodyDiv w:val="1"/>
      <w:marLeft w:val="0"/>
      <w:marRight w:val="0"/>
      <w:marTop w:val="0"/>
      <w:marBottom w:val="0"/>
      <w:divBdr>
        <w:top w:val="none" w:sz="0" w:space="0" w:color="auto"/>
        <w:left w:val="none" w:sz="0" w:space="0" w:color="auto"/>
        <w:bottom w:val="none" w:sz="0" w:space="0" w:color="auto"/>
        <w:right w:val="none" w:sz="0" w:space="0" w:color="auto"/>
      </w:divBdr>
    </w:div>
    <w:div w:id="1143083794">
      <w:bodyDiv w:val="1"/>
      <w:marLeft w:val="0"/>
      <w:marRight w:val="0"/>
      <w:marTop w:val="0"/>
      <w:marBottom w:val="0"/>
      <w:divBdr>
        <w:top w:val="none" w:sz="0" w:space="0" w:color="auto"/>
        <w:left w:val="none" w:sz="0" w:space="0" w:color="auto"/>
        <w:bottom w:val="none" w:sz="0" w:space="0" w:color="auto"/>
        <w:right w:val="none" w:sz="0" w:space="0" w:color="auto"/>
      </w:divBdr>
    </w:div>
    <w:div w:id="1349523069">
      <w:bodyDiv w:val="1"/>
      <w:marLeft w:val="0"/>
      <w:marRight w:val="0"/>
      <w:marTop w:val="0"/>
      <w:marBottom w:val="0"/>
      <w:divBdr>
        <w:top w:val="none" w:sz="0" w:space="0" w:color="auto"/>
        <w:left w:val="none" w:sz="0" w:space="0" w:color="auto"/>
        <w:bottom w:val="none" w:sz="0" w:space="0" w:color="auto"/>
        <w:right w:val="none" w:sz="0" w:space="0" w:color="auto"/>
      </w:divBdr>
    </w:div>
    <w:div w:id="1454059011">
      <w:bodyDiv w:val="1"/>
      <w:marLeft w:val="0"/>
      <w:marRight w:val="0"/>
      <w:marTop w:val="0"/>
      <w:marBottom w:val="0"/>
      <w:divBdr>
        <w:top w:val="none" w:sz="0" w:space="0" w:color="auto"/>
        <w:left w:val="none" w:sz="0" w:space="0" w:color="auto"/>
        <w:bottom w:val="none" w:sz="0" w:space="0" w:color="auto"/>
        <w:right w:val="none" w:sz="0" w:space="0" w:color="auto"/>
      </w:divBdr>
    </w:div>
    <w:div w:id="1714962591">
      <w:bodyDiv w:val="1"/>
      <w:marLeft w:val="0"/>
      <w:marRight w:val="0"/>
      <w:marTop w:val="0"/>
      <w:marBottom w:val="0"/>
      <w:divBdr>
        <w:top w:val="none" w:sz="0" w:space="0" w:color="auto"/>
        <w:left w:val="none" w:sz="0" w:space="0" w:color="auto"/>
        <w:bottom w:val="none" w:sz="0" w:space="0" w:color="auto"/>
        <w:right w:val="none" w:sz="0" w:space="0" w:color="auto"/>
      </w:divBdr>
      <w:divsChild>
        <w:div w:id="1592853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5226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Crisóstomo Sanz</dc:creator>
  <cp:lastModifiedBy>Susana Crisostomo Sanz</cp:lastModifiedBy>
  <cp:revision>2</cp:revision>
  <dcterms:created xsi:type="dcterms:W3CDTF">2020-04-19T08:35:00Z</dcterms:created>
  <dcterms:modified xsi:type="dcterms:W3CDTF">2020-04-19T08:35:00Z</dcterms:modified>
</cp:coreProperties>
</file>